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133" w:rsidRPr="00C37E19" w:rsidRDefault="008A5133" w:rsidP="008A5133">
      <w:pPr>
        <w:pStyle w:val="Nadpis2"/>
        <w:rPr>
          <w:rFonts w:ascii="Moderat" w:hAnsi="Moderat"/>
        </w:rPr>
      </w:pPr>
      <w:bookmarkStart w:id="0" w:name="_Toc179974156"/>
      <w:r w:rsidRPr="00C37E19">
        <w:rPr>
          <w:rFonts w:ascii="Moderat" w:hAnsi="Moderat"/>
        </w:rPr>
        <w:t>Před</w:t>
      </w:r>
      <w:bookmarkEnd w:id="0"/>
      <w:r>
        <w:rPr>
          <w:rFonts w:ascii="Moderat" w:hAnsi="Moderat"/>
        </w:rPr>
        <w:t>časné odchody ze vzdělávání</w:t>
      </w:r>
    </w:p>
    <w:p w:rsidR="00674CB3" w:rsidRDefault="00674CB3" w:rsidP="008A5133">
      <w:pPr>
        <w:rPr>
          <w:rFonts w:ascii="Moderat" w:eastAsia="Calibri" w:hAnsi="Moderat"/>
        </w:rPr>
      </w:pPr>
    </w:p>
    <w:p w:rsidR="00674CB3" w:rsidRPr="00D45FE2" w:rsidRDefault="00674CB3" w:rsidP="00674CB3">
      <w:pPr>
        <w:spacing w:line="259" w:lineRule="auto"/>
        <w:jc w:val="left"/>
        <w:rPr>
          <w:rFonts w:ascii="Moderat" w:hAnsi="Moderat"/>
          <w:sz w:val="22"/>
        </w:rPr>
      </w:pPr>
      <w:r w:rsidRPr="00D45FE2">
        <w:rPr>
          <w:rFonts w:ascii="Moderat" w:hAnsi="Moderat"/>
          <w:sz w:val="22"/>
        </w:rPr>
        <w:t>Autoři: Mgr. Martin Majcík, Ph.D. a kol., Vzdělávací institut pro Moravu</w:t>
      </w:r>
    </w:p>
    <w:p w:rsidR="00674CB3" w:rsidRDefault="00674CB3" w:rsidP="008A5133">
      <w:pPr>
        <w:rPr>
          <w:rFonts w:ascii="Moderat" w:eastAsia="Calibri" w:hAnsi="Moderat"/>
        </w:rPr>
      </w:pPr>
    </w:p>
    <w:p w:rsidR="008A5133" w:rsidRPr="00C37E19" w:rsidRDefault="008A5133" w:rsidP="008A5133">
      <w:pPr>
        <w:rPr>
          <w:rFonts w:ascii="Moderat" w:eastAsia="Calibri" w:hAnsi="Moderat"/>
        </w:rPr>
      </w:pPr>
      <w:bookmarkStart w:id="1" w:name="_GoBack"/>
      <w:bookmarkEnd w:id="1"/>
      <w:r w:rsidRPr="00C37E19">
        <w:rPr>
          <w:rFonts w:ascii="Moderat" w:eastAsia="Calibri" w:hAnsi="Moderat"/>
        </w:rPr>
        <w:t xml:space="preserve">Předčasné odchody ze vzdělávání jsou tématem, které dlouhodobě rezonuje nejen odborným diskurzem, ale stalo se také nedílnou součástí strategických dokumentů vzdělávací politiky a praktických snah v podobě projektů, které se k dané problematice vztahují. Protože se jedná o širokou oblast, setkat se můžeme s celou řadou termínů, kterým nyní bude věnována pozornost. Předčasné odchody ze vzdělávání (early </w:t>
      </w:r>
      <w:proofErr w:type="spellStart"/>
      <w:r w:rsidRPr="00C37E19">
        <w:rPr>
          <w:rFonts w:ascii="Moderat" w:eastAsia="Calibri" w:hAnsi="Moderat"/>
        </w:rPr>
        <w:t>school</w:t>
      </w:r>
      <w:proofErr w:type="spellEnd"/>
      <w:r w:rsidRPr="00C37E19">
        <w:rPr>
          <w:rFonts w:ascii="Moderat" w:eastAsia="Calibri" w:hAnsi="Moderat"/>
        </w:rPr>
        <w:t xml:space="preserve"> </w:t>
      </w:r>
      <w:proofErr w:type="spellStart"/>
      <w:r w:rsidRPr="00C37E19">
        <w:rPr>
          <w:rFonts w:ascii="Moderat" w:eastAsia="Calibri" w:hAnsi="Moderat"/>
        </w:rPr>
        <w:t>leaving</w:t>
      </w:r>
      <w:proofErr w:type="spellEnd"/>
      <w:r w:rsidRPr="00C37E19">
        <w:rPr>
          <w:rFonts w:ascii="Moderat" w:eastAsia="Calibri" w:hAnsi="Moderat"/>
        </w:rPr>
        <w:t>) se vztahuje k těm jedincům, kteří „ve věku pod zákonem stanovené povinné školní docházky odešli ze vzdělávání nebo odborného vzdělávání, aniž by studium dokončili“ (ELGNPN Glosář, 2015, s. 17). V českém kontextu je míra předčasných odchodů ze vzdělávání definována jako podíl obyvatel ve věku 18-24, kteří dosáhli pouze základního vzdělání (ELGNPN Glosář, 2015, s. 17). Termín předčasný odchod ze škol (drop-</w:t>
      </w:r>
      <w:proofErr w:type="spellStart"/>
      <w:r w:rsidRPr="00C37E19">
        <w:rPr>
          <w:rFonts w:ascii="Moderat" w:eastAsia="Calibri" w:hAnsi="Moderat"/>
        </w:rPr>
        <w:t>out</w:t>
      </w:r>
      <w:proofErr w:type="spellEnd"/>
      <w:r w:rsidRPr="00C37E19">
        <w:rPr>
          <w:rFonts w:ascii="Moderat" w:eastAsia="Calibri" w:hAnsi="Moderat"/>
        </w:rPr>
        <w:t>) chápeme v užším významu, kdy se jedná o přerušení studovaného programu bez jeho ukončení. Drop-</w:t>
      </w:r>
      <w:proofErr w:type="spellStart"/>
      <w:r w:rsidRPr="00C37E19">
        <w:rPr>
          <w:rFonts w:ascii="Moderat" w:eastAsia="Calibri" w:hAnsi="Moderat"/>
        </w:rPr>
        <w:t>out</w:t>
      </w:r>
      <w:proofErr w:type="spellEnd"/>
      <w:r w:rsidRPr="00C37E19">
        <w:rPr>
          <w:rFonts w:ascii="Moderat" w:eastAsia="Calibri" w:hAnsi="Moderat"/>
        </w:rPr>
        <w:t xml:space="preserve"> tedy může nastat u jedinců, kteří odchází ze základní školy před ukončením studia 9. ročníku nebo u žáků, kteří nedokončili střední školu.</w:t>
      </w:r>
    </w:p>
    <w:p w:rsidR="008A5133" w:rsidRPr="00C37E19" w:rsidRDefault="008A5133" w:rsidP="008A5133">
      <w:pPr>
        <w:rPr>
          <w:rFonts w:ascii="Moderat" w:eastAsia="Calibri" w:hAnsi="Moderat"/>
        </w:rPr>
      </w:pPr>
      <w:r w:rsidRPr="00C37E19">
        <w:rPr>
          <w:rFonts w:ascii="Moderat" w:eastAsia="Calibri" w:hAnsi="Moderat"/>
        </w:rPr>
        <w:t xml:space="preserve">Česká republika se v podílu předčasných odchodů ze vzdělávání dlouhodobě pohybuje pod průměrem Evropské unie (9 %). V roce 2022 bylo v českém vzdělávacím systému 6,2 % žáků, kteří odešli ze vzdělávání a odborné přípravy. Ačkoliv Česká republika patřila k zemím s velmi nízkou mírou předčasných odchodů, v meziročním srovnání je patrný dlouhodobý trend pozvolného </w:t>
      </w:r>
      <w:proofErr w:type="spellStart"/>
      <w:r w:rsidRPr="00C37E19">
        <w:rPr>
          <w:rFonts w:ascii="Moderat" w:eastAsia="Calibri" w:hAnsi="Moderat"/>
        </w:rPr>
        <w:t>nárustu</w:t>
      </w:r>
      <w:proofErr w:type="spellEnd"/>
      <w:r w:rsidRPr="00C37E19">
        <w:rPr>
          <w:rFonts w:ascii="Moderat" w:eastAsia="Calibri" w:hAnsi="Moderat"/>
        </w:rPr>
        <w:t xml:space="preserve"> podílu žáků, kteří předčasně vzdělání ukončili a zůstali s dosaženým základním vzděláním. Podstatná je v tomto kontextu také regionální disparita, jelikož rozdíly jsou s ohledem na tento fenomén mezi kraji značné (srov. Karlovarský a Ústecký kraj: 11,7 %) (</w:t>
      </w:r>
      <w:proofErr w:type="spellStart"/>
      <w:r w:rsidRPr="00C37E19">
        <w:rPr>
          <w:rFonts w:ascii="Moderat" w:eastAsia="Calibri" w:hAnsi="Moderat"/>
        </w:rPr>
        <w:t>Education</w:t>
      </w:r>
      <w:proofErr w:type="spellEnd"/>
      <w:r w:rsidRPr="00C37E19">
        <w:rPr>
          <w:rFonts w:ascii="Moderat" w:eastAsia="Calibri" w:hAnsi="Moderat"/>
        </w:rPr>
        <w:t xml:space="preserve"> and </w:t>
      </w:r>
      <w:proofErr w:type="spellStart"/>
      <w:r w:rsidRPr="00C37E19">
        <w:rPr>
          <w:rFonts w:ascii="Moderat" w:eastAsia="Calibri" w:hAnsi="Moderat"/>
        </w:rPr>
        <w:t>Training</w:t>
      </w:r>
      <w:proofErr w:type="spellEnd"/>
      <w:r w:rsidRPr="00C37E19">
        <w:rPr>
          <w:rFonts w:ascii="Moderat" w:eastAsia="Calibri" w:hAnsi="Moderat"/>
        </w:rPr>
        <w:t xml:space="preserve"> monitor, 2023). Dle Volfové </w:t>
      </w:r>
      <w:r w:rsidRPr="00C37E19">
        <w:rPr>
          <w:rFonts w:ascii="Moderat" w:hAnsi="Moderat"/>
        </w:rPr>
        <w:t>&amp;</w:t>
      </w:r>
      <w:r w:rsidRPr="00C37E19">
        <w:rPr>
          <w:rFonts w:ascii="Moderat" w:eastAsia="Calibri" w:hAnsi="Moderat"/>
        </w:rPr>
        <w:t xml:space="preserve"> Svobody (2023) je patrné, že Ústecký kraj má nejvyšší podíl předčasných odchodů ze základního i ze středního vzdělávání. Nabízí se tak celá řada možných linií úvah nad příčinami předčasných odchodů ze vzdělávání. Reflektovat můžeme například vztah </w:t>
      </w:r>
      <w:r w:rsidRPr="00C37E19">
        <w:rPr>
          <w:rFonts w:ascii="Moderat" w:eastAsia="Calibri" w:hAnsi="Moderat"/>
        </w:rPr>
        <w:lastRenderedPageBreak/>
        <w:t>vzdělávacích aspirací a sociálněekonomického statusu žáků, dopady sociálně vyloučených lokalit, ale také jednotlivé aspekty vzdělávacího systému, jako je například zavedení státní části maturitní zkoušky, široká oborová struktura středních odborných škol či podpora žáků se specifickými vzdělávacími potřebami.</w:t>
      </w:r>
    </w:p>
    <w:p w:rsidR="008A5133" w:rsidRPr="00C37E19" w:rsidRDefault="008A5133" w:rsidP="008A5133">
      <w:pPr>
        <w:rPr>
          <w:rFonts w:ascii="Moderat" w:hAnsi="Moderat"/>
        </w:rPr>
      </w:pPr>
      <w:r w:rsidRPr="00C37E19">
        <w:rPr>
          <w:rFonts w:ascii="Moderat" w:hAnsi="Moderat"/>
        </w:rPr>
        <w:t xml:space="preserve">V kontextu předčasných odchodů je nutné také zmínit fenomén, který je s předčasnými odchody úzce propojen. Od předčasných odchodů ze vzdělávání odlišujeme </w:t>
      </w:r>
      <w:proofErr w:type="spellStart"/>
      <w:r w:rsidRPr="00C37E19">
        <w:rPr>
          <w:rFonts w:ascii="Moderat" w:hAnsi="Moderat"/>
        </w:rPr>
        <w:t>meziškolní</w:t>
      </w:r>
      <w:proofErr w:type="spellEnd"/>
      <w:r w:rsidRPr="00C37E19">
        <w:rPr>
          <w:rFonts w:ascii="Moderat" w:hAnsi="Moderat"/>
        </w:rPr>
        <w:t xml:space="preserve"> mobilitu, tzn. změnu střední školy, případně oboru. </w:t>
      </w:r>
      <w:proofErr w:type="spellStart"/>
      <w:r w:rsidRPr="00C37E19">
        <w:rPr>
          <w:rFonts w:ascii="Moderat" w:hAnsi="Moderat"/>
        </w:rPr>
        <w:t>Meziškolní</w:t>
      </w:r>
      <w:proofErr w:type="spellEnd"/>
      <w:r w:rsidRPr="00C37E19">
        <w:rPr>
          <w:rFonts w:ascii="Moderat" w:hAnsi="Moderat"/>
        </w:rPr>
        <w:t xml:space="preserve"> mobilita je často vynucená okolnostmi, které nesouvisejí se vzdělávací dráhou (např. stěhování). Jindy má však velmi podobné, či dokonce stejné důvody, jako předčasné odchody. To ukazuje např. </w:t>
      </w:r>
      <w:proofErr w:type="spellStart"/>
      <w:r w:rsidRPr="00C37E19">
        <w:rPr>
          <w:rFonts w:ascii="Moderat" w:hAnsi="Moderat"/>
        </w:rPr>
        <w:t>Hlaďo</w:t>
      </w:r>
      <w:proofErr w:type="spellEnd"/>
      <w:r w:rsidRPr="00C37E19">
        <w:rPr>
          <w:rFonts w:ascii="Moderat" w:hAnsi="Moderat"/>
        </w:rPr>
        <w:t xml:space="preserve"> a </w:t>
      </w:r>
      <w:proofErr w:type="spellStart"/>
      <w:r w:rsidRPr="00C37E19">
        <w:rPr>
          <w:rFonts w:ascii="Moderat" w:hAnsi="Moderat"/>
        </w:rPr>
        <w:t>Šlapalová</w:t>
      </w:r>
      <w:proofErr w:type="spellEnd"/>
      <w:r w:rsidRPr="00C37E19">
        <w:rPr>
          <w:rFonts w:ascii="Moderat" w:hAnsi="Moderat"/>
        </w:rPr>
        <w:t xml:space="preserve"> (2019). </w:t>
      </w:r>
      <w:proofErr w:type="spellStart"/>
      <w:r w:rsidRPr="00C37E19">
        <w:rPr>
          <w:rFonts w:ascii="Moderat" w:hAnsi="Moderat"/>
        </w:rPr>
        <w:t>Meziškolní</w:t>
      </w:r>
      <w:proofErr w:type="spellEnd"/>
      <w:r w:rsidRPr="00C37E19">
        <w:rPr>
          <w:rFonts w:ascii="Moderat" w:hAnsi="Moderat"/>
        </w:rPr>
        <w:t xml:space="preserve"> mobilita má zdánlivě méně problematické dopady, jelikož žáci pokračují ve školní docházce. Obvykle je ovšem </w:t>
      </w:r>
      <w:proofErr w:type="spellStart"/>
      <w:r w:rsidRPr="00C37E19">
        <w:rPr>
          <w:rFonts w:ascii="Moderat" w:hAnsi="Moderat"/>
        </w:rPr>
        <w:t>meziškolní</w:t>
      </w:r>
      <w:proofErr w:type="spellEnd"/>
      <w:r w:rsidRPr="00C37E19">
        <w:rPr>
          <w:rFonts w:ascii="Moderat" w:hAnsi="Moderat"/>
        </w:rPr>
        <w:t xml:space="preserve"> mobilita spojená s přechodem do vzdělávacích proudů s nižší akademickou ambicí (Dvořák &amp; Vyhnálek, 2019), nemluvě o tom, že </w:t>
      </w:r>
      <w:proofErr w:type="spellStart"/>
      <w:r w:rsidRPr="00C37E19">
        <w:rPr>
          <w:rFonts w:ascii="Moderat" w:hAnsi="Moderat"/>
        </w:rPr>
        <w:t>meziškolní</w:t>
      </w:r>
      <w:proofErr w:type="spellEnd"/>
      <w:r w:rsidRPr="00C37E19">
        <w:rPr>
          <w:rFonts w:ascii="Moderat" w:hAnsi="Moderat"/>
        </w:rPr>
        <w:t xml:space="preserve"> mobilita může být jen mezistupněm na cestě k předčasnému odchodu (</w:t>
      </w:r>
      <w:proofErr w:type="spellStart"/>
      <w:r w:rsidRPr="00C37E19">
        <w:rPr>
          <w:rFonts w:ascii="Moderat" w:hAnsi="Moderat"/>
        </w:rPr>
        <w:t>Hlaďo</w:t>
      </w:r>
      <w:proofErr w:type="spellEnd"/>
      <w:r w:rsidRPr="00C37E19">
        <w:rPr>
          <w:rFonts w:ascii="Moderat" w:hAnsi="Moderat"/>
        </w:rPr>
        <w:t xml:space="preserve"> &amp; </w:t>
      </w:r>
      <w:proofErr w:type="spellStart"/>
      <w:r w:rsidRPr="00C37E19">
        <w:rPr>
          <w:rFonts w:ascii="Moderat" w:hAnsi="Moderat"/>
        </w:rPr>
        <w:t>Šlapalová</w:t>
      </w:r>
      <w:proofErr w:type="spellEnd"/>
      <w:r w:rsidRPr="00C37E19">
        <w:rPr>
          <w:rFonts w:ascii="Moderat" w:hAnsi="Moderat"/>
        </w:rPr>
        <w:t>, 2019; Novotný et al, 2023).</w:t>
      </w:r>
    </w:p>
    <w:p w:rsidR="008A5133" w:rsidRPr="00C37E19" w:rsidRDefault="008A5133" w:rsidP="008A5133">
      <w:pPr>
        <w:rPr>
          <w:rFonts w:ascii="Moderat" w:eastAsia="Calibri" w:hAnsi="Moderat"/>
        </w:rPr>
      </w:pPr>
      <w:r w:rsidRPr="00C37E19">
        <w:rPr>
          <w:rFonts w:ascii="Moderat" w:eastAsia="Calibri" w:hAnsi="Moderat"/>
        </w:rPr>
        <w:t>S tématem předčasných odchodů se zpravidla pojí termín kariérové poradenství a kariérové vzdělávání. „Kariérové poradenství (</w:t>
      </w:r>
      <w:proofErr w:type="spellStart"/>
      <w:r w:rsidRPr="00C37E19">
        <w:rPr>
          <w:rFonts w:ascii="Moderat" w:eastAsia="Calibri" w:hAnsi="Moderat"/>
        </w:rPr>
        <w:t>career</w:t>
      </w:r>
      <w:proofErr w:type="spellEnd"/>
      <w:r w:rsidRPr="00C37E19">
        <w:rPr>
          <w:rFonts w:ascii="Moderat" w:eastAsia="Calibri" w:hAnsi="Moderat"/>
        </w:rPr>
        <w:t xml:space="preserve"> </w:t>
      </w:r>
      <w:proofErr w:type="spellStart"/>
      <w:r w:rsidRPr="00C37E19">
        <w:rPr>
          <w:rFonts w:ascii="Moderat" w:eastAsia="Calibri" w:hAnsi="Moderat"/>
        </w:rPr>
        <w:t>guidance</w:t>
      </w:r>
      <w:proofErr w:type="spellEnd"/>
      <w:r w:rsidRPr="00C37E19">
        <w:rPr>
          <w:rFonts w:ascii="Moderat" w:eastAsia="Calibri" w:hAnsi="Moderat"/>
        </w:rPr>
        <w:t>) zahrnuje služby, které pomáhají lidem různého věku řídit jejich kariéru, dělat pro ně správná rozhodnutí v oblasti vzdělávací, odborné přípravy a povolání. Pomáhají lidem přemýšlet nad jejich ambicemi, zájmy, kvalifikací či dovednostmi ve vztahu k nim samotným a kým se mohou stát na trhu práce“ (</w:t>
      </w:r>
      <w:proofErr w:type="spellStart"/>
      <w:r w:rsidRPr="00C37E19">
        <w:rPr>
          <w:rFonts w:ascii="Moderat" w:hAnsi="Moderat"/>
        </w:rPr>
        <w:t>Cedefop</w:t>
      </w:r>
      <w:proofErr w:type="spellEnd"/>
      <w:r w:rsidRPr="00C37E19">
        <w:rPr>
          <w:rFonts w:ascii="Moderat" w:hAnsi="Moderat"/>
        </w:rPr>
        <w:t xml:space="preserve">; ETF; </w:t>
      </w:r>
      <w:proofErr w:type="spellStart"/>
      <w:r w:rsidRPr="00C37E19">
        <w:rPr>
          <w:rFonts w:ascii="Moderat" w:hAnsi="Moderat"/>
        </w:rPr>
        <w:t>European</w:t>
      </w:r>
      <w:proofErr w:type="spellEnd"/>
      <w:r w:rsidRPr="00C37E19">
        <w:rPr>
          <w:rFonts w:ascii="Moderat" w:hAnsi="Moderat"/>
        </w:rPr>
        <w:t xml:space="preserve"> </w:t>
      </w:r>
      <w:proofErr w:type="spellStart"/>
      <w:r w:rsidRPr="00C37E19">
        <w:rPr>
          <w:rFonts w:ascii="Moderat" w:hAnsi="Moderat"/>
        </w:rPr>
        <w:t>Commission</w:t>
      </w:r>
      <w:proofErr w:type="spellEnd"/>
      <w:r w:rsidRPr="00C37E19">
        <w:rPr>
          <w:rFonts w:ascii="Moderat" w:eastAsia="Calibri" w:hAnsi="Moderat"/>
        </w:rPr>
        <w:t>, 2019). Kariérové poradenství v rámci vzdělávacího systému si tak můžeme asociovat zejména s činností kariérových a výchovných poradců na základních a středních školách, kdy poradenství může probíhat v rovině individuální či skupinové. Kariérové poradenství je ovšem potřeba chápat i v širším kontextu služeb Úřadu práce ČR, činností nestátních neziskových organizací apod. Kariérové vzdělávání (</w:t>
      </w:r>
      <w:proofErr w:type="spellStart"/>
      <w:r w:rsidRPr="00C37E19">
        <w:rPr>
          <w:rFonts w:ascii="Moderat" w:eastAsia="Calibri" w:hAnsi="Moderat"/>
        </w:rPr>
        <w:t>career</w:t>
      </w:r>
      <w:proofErr w:type="spellEnd"/>
      <w:r w:rsidRPr="00C37E19">
        <w:rPr>
          <w:rFonts w:ascii="Moderat" w:eastAsia="Calibri" w:hAnsi="Moderat"/>
        </w:rPr>
        <w:t xml:space="preserve"> </w:t>
      </w:r>
      <w:proofErr w:type="spellStart"/>
      <w:r w:rsidRPr="00C37E19">
        <w:rPr>
          <w:rFonts w:ascii="Moderat" w:eastAsia="Calibri" w:hAnsi="Moderat"/>
        </w:rPr>
        <w:t>education</w:t>
      </w:r>
      <w:proofErr w:type="spellEnd"/>
      <w:r w:rsidRPr="00C37E19">
        <w:rPr>
          <w:rFonts w:ascii="Moderat" w:eastAsia="Calibri" w:hAnsi="Moderat"/>
        </w:rPr>
        <w:t xml:space="preserve">) zase chápeme jako „vzdělávací programy a aktivity, které pomáhají lidem rozvíjet dovednosti pro řízení vlastní kariéry a životní dráhy.“ (ELGNPN Glosář, 2012, s. 17). Kariérové vzdělávání se vztahuje k předávání určitých obsahů v rámci plánovaného kurikula, jež je v rámci vzdělávacího systému vymezeno rámcovými vzdělávacími programy, a to </w:t>
      </w:r>
      <w:r w:rsidRPr="00C37E19">
        <w:rPr>
          <w:rFonts w:ascii="Moderat" w:eastAsia="Calibri" w:hAnsi="Moderat"/>
        </w:rPr>
        <w:lastRenderedPageBreak/>
        <w:t xml:space="preserve">konkrétně oblastí Člověk a svět práce. Jak je ovšem patrné, kariérové poradenství a vzdělávání by mělo představovat spojité nádoby, které se vzájemně doplňují s ohledem na potřeby a rozvoj jedince. </w:t>
      </w:r>
    </w:p>
    <w:p w:rsidR="008A5133" w:rsidRPr="00C37E19" w:rsidRDefault="008A5133" w:rsidP="008A5133">
      <w:pPr>
        <w:pStyle w:val="Nadpis2"/>
        <w:rPr>
          <w:rFonts w:ascii="Moderat" w:hAnsi="Moderat"/>
        </w:rPr>
      </w:pPr>
      <w:bookmarkStart w:id="2" w:name="_Toc179974203"/>
      <w:r w:rsidRPr="00C37E19">
        <w:rPr>
          <w:rFonts w:ascii="Moderat" w:hAnsi="Moderat"/>
        </w:rPr>
        <w:t>Zdroje</w:t>
      </w:r>
      <w:bookmarkEnd w:id="2"/>
    </w:p>
    <w:p w:rsidR="008A5133" w:rsidRDefault="008A5133" w:rsidP="008A5133">
      <w:pPr>
        <w:rPr>
          <w:rStyle w:val="Hypertextovodkaz"/>
          <w:rFonts w:ascii="Moderat" w:hAnsi="Moderat"/>
        </w:rPr>
      </w:pPr>
      <w:proofErr w:type="spellStart"/>
      <w:r w:rsidRPr="00C37E19">
        <w:rPr>
          <w:rFonts w:ascii="Moderat" w:hAnsi="Moderat"/>
        </w:rPr>
        <w:t>Cedefop</w:t>
      </w:r>
      <w:proofErr w:type="spellEnd"/>
      <w:r w:rsidRPr="00C37E19">
        <w:rPr>
          <w:rFonts w:ascii="Moderat" w:hAnsi="Moderat"/>
        </w:rPr>
        <w:t xml:space="preserve"> (2024). </w:t>
      </w:r>
      <w:r w:rsidRPr="00C37E19">
        <w:rPr>
          <w:rFonts w:ascii="Moderat" w:hAnsi="Moderat"/>
          <w:i/>
          <w:iCs/>
        </w:rPr>
        <w:t xml:space="preserve">Monitoring and </w:t>
      </w:r>
      <w:proofErr w:type="spellStart"/>
      <w:r w:rsidRPr="00C37E19">
        <w:rPr>
          <w:rFonts w:ascii="Moderat" w:hAnsi="Moderat"/>
          <w:i/>
          <w:iCs/>
        </w:rPr>
        <w:t>evaluating</w:t>
      </w:r>
      <w:proofErr w:type="spellEnd"/>
      <w:r w:rsidRPr="00C37E19">
        <w:rPr>
          <w:rFonts w:ascii="Moderat" w:hAnsi="Moderat"/>
          <w:i/>
          <w:iCs/>
        </w:rPr>
        <w:t xml:space="preserve"> </w:t>
      </w:r>
      <w:proofErr w:type="spellStart"/>
      <w:r w:rsidRPr="00C37E19">
        <w:rPr>
          <w:rFonts w:ascii="Moderat" w:hAnsi="Moderat"/>
          <w:i/>
          <w:iCs/>
        </w:rPr>
        <w:t>lifelong</w:t>
      </w:r>
      <w:proofErr w:type="spellEnd"/>
      <w:r w:rsidRPr="00C37E19">
        <w:rPr>
          <w:rFonts w:ascii="Moderat" w:hAnsi="Moderat"/>
          <w:i/>
          <w:iCs/>
        </w:rPr>
        <w:t xml:space="preserve"> </w:t>
      </w:r>
      <w:proofErr w:type="spellStart"/>
      <w:r w:rsidRPr="00C37E19">
        <w:rPr>
          <w:rFonts w:ascii="Moderat" w:hAnsi="Moderat"/>
          <w:i/>
          <w:iCs/>
        </w:rPr>
        <w:t>guidance</w:t>
      </w:r>
      <w:proofErr w:type="spellEnd"/>
      <w:r w:rsidRPr="00C37E19">
        <w:rPr>
          <w:rFonts w:ascii="Moderat" w:hAnsi="Moderat"/>
          <w:i/>
          <w:iCs/>
        </w:rPr>
        <w:t xml:space="preserve"> </w:t>
      </w:r>
      <w:proofErr w:type="spellStart"/>
      <w:r w:rsidRPr="00C37E19">
        <w:rPr>
          <w:rFonts w:ascii="Moderat" w:hAnsi="Moderat"/>
          <w:i/>
          <w:iCs/>
        </w:rPr>
        <w:t>systems</w:t>
      </w:r>
      <w:proofErr w:type="spellEnd"/>
      <w:r w:rsidRPr="00C37E19">
        <w:rPr>
          <w:rFonts w:ascii="Moderat" w:hAnsi="Moderat"/>
          <w:i/>
          <w:iCs/>
        </w:rPr>
        <w:t xml:space="preserve"> </w:t>
      </w:r>
      <w:proofErr w:type="spellStart"/>
      <w:r w:rsidRPr="00C37E19">
        <w:rPr>
          <w:rFonts w:ascii="Moderat" w:hAnsi="Moderat"/>
          <w:i/>
          <w:iCs/>
        </w:rPr>
        <w:t>across</w:t>
      </w:r>
      <w:proofErr w:type="spellEnd"/>
      <w:r w:rsidRPr="00C37E19">
        <w:rPr>
          <w:rFonts w:ascii="Moderat" w:hAnsi="Moderat"/>
          <w:i/>
          <w:iCs/>
        </w:rPr>
        <w:t xml:space="preserve"> </w:t>
      </w:r>
      <w:proofErr w:type="spellStart"/>
      <w:r w:rsidRPr="00C37E19">
        <w:rPr>
          <w:rFonts w:ascii="Moderat" w:hAnsi="Moderat"/>
          <w:i/>
          <w:iCs/>
        </w:rPr>
        <w:t>Europe</w:t>
      </w:r>
      <w:proofErr w:type="spellEnd"/>
      <w:r w:rsidRPr="00C37E19">
        <w:rPr>
          <w:rFonts w:ascii="Moderat" w:hAnsi="Moderat"/>
          <w:i/>
          <w:iCs/>
        </w:rPr>
        <w:t>. </w:t>
      </w:r>
      <w:proofErr w:type="spellStart"/>
      <w:r w:rsidRPr="00C37E19">
        <w:rPr>
          <w:rFonts w:ascii="Moderat" w:hAnsi="Moderat"/>
        </w:rPr>
        <w:t>Publications</w:t>
      </w:r>
      <w:proofErr w:type="spellEnd"/>
      <w:r w:rsidRPr="00C37E19">
        <w:rPr>
          <w:rFonts w:ascii="Moderat" w:hAnsi="Moderat"/>
        </w:rPr>
        <w:t xml:space="preserve"> Office </w:t>
      </w:r>
      <w:proofErr w:type="spellStart"/>
      <w:r w:rsidRPr="00C37E19">
        <w:rPr>
          <w:rFonts w:ascii="Moderat" w:hAnsi="Moderat"/>
        </w:rPr>
        <w:t>of</w:t>
      </w:r>
      <w:proofErr w:type="spellEnd"/>
      <w:r w:rsidRPr="00C37E19">
        <w:rPr>
          <w:rFonts w:ascii="Moderat" w:hAnsi="Moderat"/>
        </w:rPr>
        <w:t xml:space="preserve"> </w:t>
      </w:r>
      <w:proofErr w:type="spellStart"/>
      <w:r w:rsidRPr="00C37E19">
        <w:rPr>
          <w:rFonts w:ascii="Moderat" w:hAnsi="Moderat"/>
        </w:rPr>
        <w:t>the</w:t>
      </w:r>
      <w:proofErr w:type="spellEnd"/>
      <w:r w:rsidRPr="00C37E19">
        <w:rPr>
          <w:rFonts w:ascii="Moderat" w:hAnsi="Moderat"/>
        </w:rPr>
        <w:t xml:space="preserve"> </w:t>
      </w:r>
      <w:proofErr w:type="spellStart"/>
      <w:r w:rsidRPr="00C37E19">
        <w:rPr>
          <w:rFonts w:ascii="Moderat" w:hAnsi="Moderat"/>
        </w:rPr>
        <w:t>European</w:t>
      </w:r>
      <w:proofErr w:type="spellEnd"/>
      <w:r w:rsidRPr="00C37E19">
        <w:rPr>
          <w:rFonts w:ascii="Moderat" w:hAnsi="Moderat"/>
        </w:rPr>
        <w:t xml:space="preserve"> Union. </w:t>
      </w:r>
      <w:hyperlink r:id="rId4" w:tgtFrame="_blank" w:history="1">
        <w:r w:rsidRPr="00C37E19">
          <w:rPr>
            <w:rStyle w:val="Hypertextovodkaz"/>
            <w:rFonts w:ascii="Moderat" w:hAnsi="Moderat"/>
          </w:rPr>
          <w:t>https://data.europa.eu/doi/10.2801/489472</w:t>
        </w:r>
      </w:hyperlink>
    </w:p>
    <w:p w:rsidR="008A5133" w:rsidRPr="00C37E19" w:rsidRDefault="008A5133" w:rsidP="008A5133">
      <w:pPr>
        <w:jc w:val="left"/>
        <w:rPr>
          <w:rFonts w:ascii="Moderat" w:hAnsi="Moderat"/>
          <w:lang w:eastAsia="cs-CZ"/>
        </w:rPr>
      </w:pPr>
      <w:r w:rsidRPr="00C37E19">
        <w:rPr>
          <w:rFonts w:ascii="Moderat" w:hAnsi="Moderat"/>
        </w:rPr>
        <w:t xml:space="preserve">Dvořák, D., </w:t>
      </w:r>
      <w:proofErr w:type="spellStart"/>
      <w:r w:rsidRPr="00C37E19">
        <w:rPr>
          <w:rFonts w:ascii="Moderat" w:hAnsi="Moderat"/>
        </w:rPr>
        <w:t>Meyer</w:t>
      </w:r>
      <w:proofErr w:type="spellEnd"/>
      <w:r w:rsidRPr="00C37E19">
        <w:rPr>
          <w:rFonts w:ascii="Moderat" w:hAnsi="Moderat"/>
        </w:rPr>
        <w:t xml:space="preserve">, P., Kučerová, S. R., Vyhnálek, J. &amp; Šmíd, O. (2020). </w:t>
      </w:r>
      <w:proofErr w:type="spellStart"/>
      <w:r w:rsidRPr="00C37E19">
        <w:rPr>
          <w:rFonts w:ascii="Moderat" w:hAnsi="Moderat"/>
        </w:rPr>
        <w:t>Changing</w:t>
      </w:r>
      <w:proofErr w:type="spellEnd"/>
      <w:r w:rsidRPr="00C37E19">
        <w:rPr>
          <w:rFonts w:ascii="Moderat" w:hAnsi="Moderat"/>
        </w:rPr>
        <w:t xml:space="preserve"> place, </w:t>
      </w:r>
      <w:proofErr w:type="spellStart"/>
      <w:r w:rsidRPr="00C37E19">
        <w:rPr>
          <w:rFonts w:ascii="Moderat" w:hAnsi="Moderat"/>
        </w:rPr>
        <w:t>changing</w:t>
      </w:r>
      <w:proofErr w:type="spellEnd"/>
      <w:r w:rsidRPr="00C37E19">
        <w:rPr>
          <w:rFonts w:ascii="Moderat" w:hAnsi="Moderat"/>
        </w:rPr>
        <w:t xml:space="preserve"> track: Inter-</w:t>
      </w:r>
      <w:proofErr w:type="spellStart"/>
      <w:r w:rsidRPr="00C37E19">
        <w:rPr>
          <w:rFonts w:ascii="Moderat" w:hAnsi="Moderat"/>
        </w:rPr>
        <w:t>school</w:t>
      </w:r>
      <w:proofErr w:type="spellEnd"/>
      <w:r w:rsidRPr="00C37E19">
        <w:rPr>
          <w:rFonts w:ascii="Moderat" w:hAnsi="Moderat"/>
        </w:rPr>
        <w:t xml:space="preserve"> mobility </w:t>
      </w:r>
      <w:proofErr w:type="spellStart"/>
      <w:r w:rsidRPr="00C37E19">
        <w:rPr>
          <w:rFonts w:ascii="Moderat" w:hAnsi="Moderat"/>
        </w:rPr>
        <w:t>of</w:t>
      </w:r>
      <w:proofErr w:type="spellEnd"/>
      <w:r w:rsidRPr="00C37E19">
        <w:rPr>
          <w:rFonts w:ascii="Moderat" w:hAnsi="Moderat"/>
        </w:rPr>
        <w:t xml:space="preserve"> Czech </w:t>
      </w:r>
      <w:proofErr w:type="spellStart"/>
      <w:r w:rsidRPr="00C37E19">
        <w:rPr>
          <w:rFonts w:ascii="Moderat" w:hAnsi="Moderat"/>
        </w:rPr>
        <w:t>secondary</w:t>
      </w:r>
      <w:proofErr w:type="spellEnd"/>
      <w:r w:rsidRPr="00C37E19">
        <w:rPr>
          <w:rFonts w:ascii="Moderat" w:hAnsi="Moderat"/>
        </w:rPr>
        <w:t xml:space="preserve"> </w:t>
      </w:r>
      <w:proofErr w:type="spellStart"/>
      <w:r w:rsidRPr="00C37E19">
        <w:rPr>
          <w:rFonts w:ascii="Moderat" w:hAnsi="Moderat"/>
        </w:rPr>
        <w:t>students</w:t>
      </w:r>
      <w:proofErr w:type="spellEnd"/>
      <w:r w:rsidRPr="00C37E19">
        <w:rPr>
          <w:rFonts w:ascii="Moderat" w:hAnsi="Moderat"/>
        </w:rPr>
        <w:t>. </w:t>
      </w:r>
      <w:proofErr w:type="spellStart"/>
      <w:r w:rsidRPr="00C37E19">
        <w:rPr>
          <w:rFonts w:ascii="Moderat" w:hAnsi="Moderat"/>
        </w:rPr>
        <w:t>Journal</w:t>
      </w:r>
      <w:proofErr w:type="spellEnd"/>
      <w:r w:rsidRPr="00C37E19">
        <w:rPr>
          <w:rFonts w:ascii="Moderat" w:hAnsi="Moderat"/>
        </w:rPr>
        <w:t xml:space="preserve"> </w:t>
      </w:r>
      <w:proofErr w:type="spellStart"/>
      <w:r w:rsidRPr="00C37E19">
        <w:rPr>
          <w:rFonts w:ascii="Moderat" w:hAnsi="Moderat"/>
        </w:rPr>
        <w:t>of</w:t>
      </w:r>
      <w:proofErr w:type="spellEnd"/>
      <w:r w:rsidRPr="00C37E19">
        <w:rPr>
          <w:rFonts w:ascii="Moderat" w:hAnsi="Moderat"/>
        </w:rPr>
        <w:t xml:space="preserve"> Pedagogy, 11(1), 83–105. </w:t>
      </w:r>
      <w:hyperlink r:id="rId5" w:history="1">
        <w:r w:rsidRPr="00C37E19">
          <w:rPr>
            <w:rStyle w:val="Hypertextovodkaz"/>
            <w:rFonts w:ascii="Moderat" w:hAnsi="Moderat"/>
          </w:rPr>
          <w:t>https://doi.org/10.2478/jped-2020-0005</w:t>
        </w:r>
      </w:hyperlink>
    </w:p>
    <w:p w:rsidR="008A5133" w:rsidRPr="00C37E19" w:rsidRDefault="008A5133" w:rsidP="008A5133">
      <w:pPr>
        <w:rPr>
          <w:rFonts w:ascii="Moderat" w:hAnsi="Moderat"/>
        </w:rPr>
      </w:pPr>
      <w:r w:rsidRPr="00C37E19">
        <w:rPr>
          <w:rFonts w:ascii="Moderat" w:hAnsi="Moderat"/>
        </w:rPr>
        <w:t xml:space="preserve">Evropská komise (2024) (Předčasné ukončení školní docházky) </w:t>
      </w:r>
      <w:hyperlink r:id="rId6" w:tgtFrame="_blank" w:history="1">
        <w:r w:rsidRPr="00C37E19">
          <w:rPr>
            <w:rStyle w:val="Hypertextovodkaz"/>
            <w:rFonts w:ascii="Moderat" w:hAnsi="Moderat"/>
          </w:rPr>
          <w:t>https://education.ec.europa.eu/cs/education-levels/school-education/early-school-leaving</w:t>
        </w:r>
      </w:hyperlink>
      <w:r w:rsidRPr="00C37E19">
        <w:rPr>
          <w:rFonts w:ascii="Moderat" w:hAnsi="Moderat"/>
        </w:rPr>
        <w:t xml:space="preserve"> . </w:t>
      </w:r>
    </w:p>
    <w:p w:rsidR="008A5133" w:rsidRPr="00C37E19" w:rsidRDefault="008A5133" w:rsidP="008A5133">
      <w:pPr>
        <w:jc w:val="left"/>
        <w:rPr>
          <w:rStyle w:val="Hypertextovodkaz"/>
          <w:rFonts w:ascii="Moderat" w:hAnsi="Moderat"/>
        </w:rPr>
      </w:pPr>
      <w:proofErr w:type="spellStart"/>
      <w:r w:rsidRPr="00C37E19">
        <w:rPr>
          <w:rFonts w:ascii="Moderat" w:hAnsi="Moderat"/>
        </w:rPr>
        <w:t>European</w:t>
      </w:r>
      <w:proofErr w:type="spellEnd"/>
      <w:r w:rsidRPr="00C37E19">
        <w:rPr>
          <w:rFonts w:ascii="Moderat" w:hAnsi="Moderat"/>
        </w:rPr>
        <w:t xml:space="preserve"> </w:t>
      </w:r>
      <w:proofErr w:type="spellStart"/>
      <w:r w:rsidRPr="00C37E19">
        <w:rPr>
          <w:rFonts w:ascii="Moderat" w:hAnsi="Moderat"/>
        </w:rPr>
        <w:t>Commission</w:t>
      </w:r>
      <w:proofErr w:type="spellEnd"/>
      <w:r w:rsidRPr="00C37E19">
        <w:rPr>
          <w:rFonts w:ascii="Moderat" w:hAnsi="Moderat"/>
        </w:rPr>
        <w:t xml:space="preserve">. (2023). </w:t>
      </w:r>
      <w:proofErr w:type="spellStart"/>
      <w:r w:rsidRPr="00C37E19">
        <w:rPr>
          <w:rFonts w:ascii="Moderat" w:hAnsi="Moderat"/>
        </w:rPr>
        <w:t>Education</w:t>
      </w:r>
      <w:proofErr w:type="spellEnd"/>
      <w:r w:rsidRPr="00C37E19">
        <w:rPr>
          <w:rFonts w:ascii="Moderat" w:hAnsi="Moderat"/>
        </w:rPr>
        <w:t xml:space="preserve"> and </w:t>
      </w:r>
      <w:proofErr w:type="spellStart"/>
      <w:r w:rsidRPr="00C37E19">
        <w:rPr>
          <w:rFonts w:ascii="Moderat" w:hAnsi="Moderat"/>
        </w:rPr>
        <w:t>Training</w:t>
      </w:r>
      <w:proofErr w:type="spellEnd"/>
      <w:r w:rsidRPr="00C37E19">
        <w:rPr>
          <w:rFonts w:ascii="Moderat" w:hAnsi="Moderat"/>
        </w:rPr>
        <w:t xml:space="preserve"> Monitor 2023. </w:t>
      </w:r>
      <w:proofErr w:type="spellStart"/>
      <w:r w:rsidRPr="00C37E19">
        <w:rPr>
          <w:rFonts w:ascii="Moderat" w:hAnsi="Moderat"/>
        </w:rPr>
        <w:t>European</w:t>
      </w:r>
      <w:proofErr w:type="spellEnd"/>
      <w:r w:rsidRPr="00C37E19">
        <w:rPr>
          <w:rFonts w:ascii="Moderat" w:hAnsi="Moderat"/>
        </w:rPr>
        <w:t xml:space="preserve"> </w:t>
      </w:r>
      <w:proofErr w:type="spellStart"/>
      <w:r w:rsidRPr="00C37E19">
        <w:rPr>
          <w:rFonts w:ascii="Moderat" w:hAnsi="Moderat"/>
        </w:rPr>
        <w:t>Comission</w:t>
      </w:r>
      <w:proofErr w:type="spellEnd"/>
      <w:r w:rsidRPr="00C37E19">
        <w:rPr>
          <w:rFonts w:ascii="Moderat" w:hAnsi="Moderat"/>
        </w:rPr>
        <w:t xml:space="preserve">. Dostupné 22 červen 2024, z </w:t>
      </w:r>
      <w:hyperlink r:id="rId7" w:history="1">
        <w:r w:rsidRPr="00C37E19">
          <w:rPr>
            <w:rStyle w:val="Hypertextovodkaz"/>
            <w:rFonts w:ascii="Moderat" w:hAnsi="Moderat"/>
          </w:rPr>
          <w:t>https://op.europa.eu/webpub/eac/education-and-training-monitor-2023/cs/country-reports/czechia.html</w:t>
        </w:r>
      </w:hyperlink>
    </w:p>
    <w:p w:rsidR="008A5133" w:rsidRPr="00C37E19" w:rsidRDefault="008A5133" w:rsidP="008A5133">
      <w:pPr>
        <w:jc w:val="left"/>
        <w:rPr>
          <w:rFonts w:ascii="Moderat" w:hAnsi="Moderat"/>
        </w:rPr>
      </w:pPr>
      <w:proofErr w:type="spellStart"/>
      <w:r w:rsidRPr="00C37E19">
        <w:rPr>
          <w:rFonts w:ascii="Moderat" w:hAnsi="Moderat"/>
        </w:rPr>
        <w:t>Hlaďo</w:t>
      </w:r>
      <w:proofErr w:type="spellEnd"/>
      <w:r w:rsidRPr="00C37E19">
        <w:rPr>
          <w:rFonts w:ascii="Moderat" w:hAnsi="Moderat"/>
        </w:rPr>
        <w:t xml:space="preserve">, P. &amp; </w:t>
      </w:r>
      <w:proofErr w:type="spellStart"/>
      <w:r w:rsidRPr="00C37E19">
        <w:rPr>
          <w:rFonts w:ascii="Moderat" w:hAnsi="Moderat"/>
        </w:rPr>
        <w:t>Šlapalová</w:t>
      </w:r>
      <w:proofErr w:type="spellEnd"/>
      <w:r w:rsidRPr="00C37E19">
        <w:rPr>
          <w:rFonts w:ascii="Moderat" w:hAnsi="Moderat"/>
        </w:rPr>
        <w:t xml:space="preserve">, K. (2019). „Už to dál nešlo“ – </w:t>
      </w:r>
      <w:proofErr w:type="spellStart"/>
      <w:r w:rsidRPr="00C37E19">
        <w:rPr>
          <w:rFonts w:ascii="Moderat" w:hAnsi="Moderat"/>
        </w:rPr>
        <w:t>meziškolní</w:t>
      </w:r>
      <w:proofErr w:type="spellEnd"/>
      <w:r w:rsidRPr="00C37E19">
        <w:rPr>
          <w:rFonts w:ascii="Moderat" w:hAnsi="Moderat"/>
        </w:rPr>
        <w:t xml:space="preserve"> mobilita ve středním odborném vzdělávání zpětným pohledem žáků. Pedagogika. 2(69), 147-164.</w:t>
      </w:r>
    </w:p>
    <w:p w:rsidR="008A5133" w:rsidRDefault="008A5133" w:rsidP="008A5133">
      <w:pPr>
        <w:rPr>
          <w:rFonts w:ascii="Moderat" w:eastAsia="Calibri" w:hAnsi="Moderat"/>
        </w:rPr>
      </w:pPr>
      <w:proofErr w:type="spellStart"/>
      <w:r w:rsidRPr="00C37E19">
        <w:rPr>
          <w:rFonts w:ascii="Moderat" w:eastAsia="Calibri" w:hAnsi="Moderat"/>
        </w:rPr>
        <w:t>Jakson</w:t>
      </w:r>
      <w:proofErr w:type="spellEnd"/>
      <w:r w:rsidRPr="00C37E19">
        <w:rPr>
          <w:rFonts w:ascii="Moderat" w:eastAsia="Calibri" w:hAnsi="Moderat"/>
        </w:rPr>
        <w:t xml:space="preserve">, Ch. (2015). </w:t>
      </w:r>
      <w:proofErr w:type="spellStart"/>
      <w:r w:rsidRPr="00C37E19">
        <w:rPr>
          <w:rFonts w:ascii="Moderat" w:eastAsia="Calibri" w:hAnsi="Moderat"/>
          <w:i/>
          <w:iCs/>
        </w:rPr>
        <w:t>European</w:t>
      </w:r>
      <w:proofErr w:type="spellEnd"/>
      <w:r w:rsidRPr="00C37E19">
        <w:rPr>
          <w:rFonts w:ascii="Moderat" w:eastAsia="Calibri" w:hAnsi="Moderat"/>
          <w:i/>
          <w:iCs/>
        </w:rPr>
        <w:t xml:space="preserve"> </w:t>
      </w:r>
      <w:proofErr w:type="spellStart"/>
      <w:r w:rsidRPr="00C37E19">
        <w:rPr>
          <w:rFonts w:ascii="Moderat" w:eastAsia="Calibri" w:hAnsi="Moderat"/>
          <w:i/>
          <w:iCs/>
        </w:rPr>
        <w:t>Lifelong</w:t>
      </w:r>
      <w:proofErr w:type="spellEnd"/>
      <w:r w:rsidRPr="00C37E19">
        <w:rPr>
          <w:rFonts w:ascii="Moderat" w:eastAsia="Calibri" w:hAnsi="Moderat"/>
          <w:i/>
          <w:iCs/>
        </w:rPr>
        <w:t xml:space="preserve"> </w:t>
      </w:r>
      <w:proofErr w:type="spellStart"/>
      <w:r w:rsidRPr="00C37E19">
        <w:rPr>
          <w:rFonts w:ascii="Moderat" w:eastAsia="Calibri" w:hAnsi="Moderat"/>
          <w:i/>
          <w:iCs/>
        </w:rPr>
        <w:t>Guidance</w:t>
      </w:r>
      <w:proofErr w:type="spellEnd"/>
      <w:r w:rsidRPr="00C37E19">
        <w:rPr>
          <w:rFonts w:ascii="Moderat" w:eastAsia="Calibri" w:hAnsi="Moderat"/>
          <w:i/>
          <w:iCs/>
        </w:rPr>
        <w:t xml:space="preserve"> </w:t>
      </w:r>
      <w:proofErr w:type="spellStart"/>
      <w:r w:rsidRPr="00C37E19">
        <w:rPr>
          <w:rFonts w:ascii="Moderat" w:eastAsia="Calibri" w:hAnsi="Moderat"/>
          <w:i/>
          <w:iCs/>
        </w:rPr>
        <w:t>Policy</w:t>
      </w:r>
      <w:proofErr w:type="spellEnd"/>
      <w:r w:rsidRPr="00C37E19">
        <w:rPr>
          <w:rFonts w:ascii="Moderat" w:eastAsia="Calibri" w:hAnsi="Moderat"/>
          <w:i/>
          <w:iCs/>
        </w:rPr>
        <w:t xml:space="preserve"> Network Glosář</w:t>
      </w:r>
      <w:r w:rsidRPr="00C37E19">
        <w:rPr>
          <w:rFonts w:ascii="Moderat" w:eastAsia="Calibri" w:hAnsi="Moderat"/>
        </w:rPr>
        <w:t>. Praha</w:t>
      </w:r>
    </w:p>
    <w:p w:rsidR="008A5133" w:rsidRPr="00C37E19" w:rsidRDefault="008A5133" w:rsidP="008A5133">
      <w:pPr>
        <w:jc w:val="left"/>
        <w:rPr>
          <w:rFonts w:ascii="Moderat" w:hAnsi="Moderat"/>
        </w:rPr>
      </w:pPr>
      <w:r w:rsidRPr="00C37E19">
        <w:rPr>
          <w:rFonts w:ascii="Moderat" w:hAnsi="Moderat"/>
        </w:rPr>
        <w:t xml:space="preserve">Novotný, P., </w:t>
      </w:r>
      <w:proofErr w:type="spellStart"/>
      <w:r w:rsidRPr="00C37E19">
        <w:rPr>
          <w:rFonts w:ascii="Moderat" w:hAnsi="Moderat"/>
        </w:rPr>
        <w:t>Pol</w:t>
      </w:r>
      <w:proofErr w:type="spellEnd"/>
      <w:r w:rsidRPr="00C37E19">
        <w:rPr>
          <w:rFonts w:ascii="Moderat" w:hAnsi="Moderat"/>
        </w:rPr>
        <w:t xml:space="preserve">, M., Hloušková, L., Lazarová, B., &amp; Sedláček, M. (2014). </w:t>
      </w:r>
      <w:proofErr w:type="spellStart"/>
      <w:r w:rsidRPr="00C37E19">
        <w:rPr>
          <w:rFonts w:ascii="Moderat" w:hAnsi="Moderat"/>
        </w:rPr>
        <w:t>School</w:t>
      </w:r>
      <w:proofErr w:type="spellEnd"/>
      <w:r w:rsidRPr="00C37E19">
        <w:rPr>
          <w:rFonts w:ascii="Moderat" w:hAnsi="Moderat"/>
        </w:rPr>
        <w:t xml:space="preserve"> as a Professional </w:t>
      </w:r>
      <w:proofErr w:type="spellStart"/>
      <w:r w:rsidRPr="00C37E19">
        <w:rPr>
          <w:rFonts w:ascii="Moderat" w:hAnsi="Moderat"/>
        </w:rPr>
        <w:t>Learning</w:t>
      </w:r>
      <w:proofErr w:type="spellEnd"/>
      <w:r w:rsidRPr="00C37E19">
        <w:rPr>
          <w:rFonts w:ascii="Moderat" w:hAnsi="Moderat"/>
        </w:rPr>
        <w:t xml:space="preserve"> </w:t>
      </w:r>
      <w:proofErr w:type="spellStart"/>
      <w:r w:rsidRPr="00C37E19">
        <w:rPr>
          <w:rFonts w:ascii="Moderat" w:hAnsi="Moderat"/>
        </w:rPr>
        <w:t>Community</w:t>
      </w:r>
      <w:proofErr w:type="spellEnd"/>
      <w:r w:rsidRPr="00C37E19">
        <w:rPr>
          <w:rFonts w:ascii="Moderat" w:hAnsi="Moderat"/>
        </w:rPr>
        <w:t xml:space="preserve">. New </w:t>
      </w:r>
      <w:proofErr w:type="spellStart"/>
      <w:r w:rsidRPr="00C37E19">
        <w:rPr>
          <w:rFonts w:ascii="Moderat" w:hAnsi="Moderat"/>
        </w:rPr>
        <w:t>Educational</w:t>
      </w:r>
      <w:proofErr w:type="spellEnd"/>
      <w:r w:rsidRPr="00C37E19">
        <w:rPr>
          <w:rFonts w:ascii="Moderat" w:hAnsi="Moderat"/>
        </w:rPr>
        <w:t xml:space="preserve"> </w:t>
      </w:r>
      <w:proofErr w:type="spellStart"/>
      <w:r w:rsidRPr="00C37E19">
        <w:rPr>
          <w:rFonts w:ascii="Moderat" w:hAnsi="Moderat"/>
        </w:rPr>
        <w:t>Review</w:t>
      </w:r>
      <w:proofErr w:type="spellEnd"/>
      <w:r w:rsidRPr="00C37E19">
        <w:rPr>
          <w:rFonts w:ascii="Moderat" w:hAnsi="Moderat"/>
        </w:rPr>
        <w:t>. 35, 163-174.</w:t>
      </w:r>
    </w:p>
    <w:p w:rsidR="008A5133" w:rsidRPr="00C37E19" w:rsidRDefault="008A5133" w:rsidP="008A5133">
      <w:pPr>
        <w:spacing w:line="264" w:lineRule="auto"/>
        <w:rPr>
          <w:rFonts w:ascii="Moderat" w:hAnsi="Moderat"/>
        </w:rPr>
      </w:pPr>
      <w:r w:rsidRPr="00C37E19">
        <w:rPr>
          <w:rFonts w:ascii="Moderat" w:hAnsi="Moderat"/>
        </w:rPr>
        <w:t xml:space="preserve">Novotný, P., Majcík, M., </w:t>
      </w:r>
      <w:proofErr w:type="spellStart"/>
      <w:r w:rsidRPr="00C37E19">
        <w:rPr>
          <w:rFonts w:ascii="Moderat" w:hAnsi="Moderat"/>
        </w:rPr>
        <w:t>Rozvadská</w:t>
      </w:r>
      <w:proofErr w:type="spellEnd"/>
      <w:r w:rsidRPr="00C37E19">
        <w:rPr>
          <w:rFonts w:ascii="Moderat" w:hAnsi="Moderat"/>
        </w:rPr>
        <w:t xml:space="preserve">, K., </w:t>
      </w:r>
      <w:proofErr w:type="spellStart"/>
      <w:r w:rsidRPr="00C37E19">
        <w:rPr>
          <w:rFonts w:ascii="Moderat" w:hAnsi="Moderat"/>
        </w:rPr>
        <w:t>Vengřinová</w:t>
      </w:r>
      <w:proofErr w:type="spellEnd"/>
      <w:r w:rsidRPr="00C37E19">
        <w:rPr>
          <w:rFonts w:ascii="Moderat" w:hAnsi="Moderat"/>
        </w:rPr>
        <w:t>, T. &amp; Dvořáková, M. (2023). Životní dráhy opakovaně neúspěšných maturantů a maturantek. Masarykova univerzita.</w:t>
      </w:r>
    </w:p>
    <w:p w:rsidR="008A5133" w:rsidRPr="00C37E19" w:rsidRDefault="008A5133" w:rsidP="008A5133">
      <w:pPr>
        <w:spacing w:line="264" w:lineRule="auto"/>
        <w:rPr>
          <w:rFonts w:ascii="Moderat" w:hAnsi="Moderat"/>
        </w:rPr>
      </w:pPr>
      <w:r w:rsidRPr="00C37E19">
        <w:rPr>
          <w:rFonts w:ascii="Moderat" w:hAnsi="Moderat"/>
        </w:rPr>
        <w:t xml:space="preserve">OECD (2023), </w:t>
      </w:r>
      <w:proofErr w:type="spellStart"/>
      <w:r w:rsidRPr="00C37E19">
        <w:rPr>
          <w:rFonts w:ascii="Moderat" w:hAnsi="Moderat"/>
        </w:rPr>
        <w:t>Education</w:t>
      </w:r>
      <w:proofErr w:type="spellEnd"/>
      <w:r w:rsidRPr="00C37E19">
        <w:rPr>
          <w:rFonts w:ascii="Moderat" w:hAnsi="Moderat"/>
        </w:rPr>
        <w:t xml:space="preserve"> </w:t>
      </w:r>
      <w:proofErr w:type="spellStart"/>
      <w:r w:rsidRPr="00C37E19">
        <w:rPr>
          <w:rFonts w:ascii="Moderat" w:hAnsi="Moderat"/>
        </w:rPr>
        <w:t>at</w:t>
      </w:r>
      <w:proofErr w:type="spellEnd"/>
      <w:r w:rsidRPr="00C37E19">
        <w:rPr>
          <w:rFonts w:ascii="Moderat" w:hAnsi="Moderat"/>
        </w:rPr>
        <w:t xml:space="preserve"> a Glance 2023: OECD </w:t>
      </w:r>
      <w:proofErr w:type="spellStart"/>
      <w:r w:rsidRPr="00C37E19">
        <w:rPr>
          <w:rFonts w:ascii="Moderat" w:hAnsi="Moderat"/>
        </w:rPr>
        <w:t>Indicators</w:t>
      </w:r>
      <w:proofErr w:type="spellEnd"/>
      <w:r w:rsidRPr="00C37E19">
        <w:rPr>
          <w:rFonts w:ascii="Moderat" w:hAnsi="Moderat"/>
        </w:rPr>
        <w:t xml:space="preserve">, OECD </w:t>
      </w:r>
      <w:proofErr w:type="spellStart"/>
      <w:r w:rsidRPr="00C37E19">
        <w:rPr>
          <w:rFonts w:ascii="Moderat" w:hAnsi="Moderat"/>
        </w:rPr>
        <w:t>Publishing</w:t>
      </w:r>
      <w:proofErr w:type="spellEnd"/>
      <w:r w:rsidRPr="00C37E19">
        <w:rPr>
          <w:rFonts w:ascii="Moderat" w:hAnsi="Moderat"/>
        </w:rPr>
        <w:t xml:space="preserve">, Paris, </w:t>
      </w:r>
      <w:hyperlink r:id="rId8" w:history="1">
        <w:r w:rsidRPr="00C37E19">
          <w:rPr>
            <w:rStyle w:val="Hypertextovodkaz"/>
            <w:rFonts w:ascii="Moderat" w:hAnsi="Moderat"/>
          </w:rPr>
          <w:t>https://doi.org/10.1787/e13bef63-en</w:t>
        </w:r>
      </w:hyperlink>
    </w:p>
    <w:p w:rsidR="008A5133" w:rsidRPr="00C37E19" w:rsidRDefault="008A5133" w:rsidP="008A5133">
      <w:pPr>
        <w:rPr>
          <w:rFonts w:ascii="Moderat" w:eastAsia="Calibri" w:hAnsi="Moderat"/>
        </w:rPr>
      </w:pPr>
    </w:p>
    <w:p w:rsidR="008A5133" w:rsidRDefault="008A5133"/>
    <w:sectPr w:rsidR="008A5133" w:rsidSect="006B6F25">
      <w:pgSz w:w="11906" w:h="16838"/>
      <w:pgMar w:top="1701" w:right="1134" w:bottom="1134" w:left="1134"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derat">
    <w:panose1 w:val="00000500000000000000"/>
    <w:charset w:val="00"/>
    <w:family w:val="moder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33"/>
    <w:rsid w:val="002A62C4"/>
    <w:rsid w:val="00464D7C"/>
    <w:rsid w:val="00597AC8"/>
    <w:rsid w:val="00616CCF"/>
    <w:rsid w:val="00674CB3"/>
    <w:rsid w:val="006B6F25"/>
    <w:rsid w:val="008A5133"/>
    <w:rsid w:val="00AE5FB6"/>
    <w:rsid w:val="00D96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9164"/>
  <w15:chartTrackingRefBased/>
  <w15:docId w15:val="{E3F5AB18-1520-4DC9-8849-9E5F5B30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5133"/>
    <w:pPr>
      <w:spacing w:line="360" w:lineRule="auto"/>
      <w:jc w:val="both"/>
    </w:pPr>
    <w:rPr>
      <w:rFonts w:ascii="Calibri Light" w:hAnsi="Calibri Light"/>
      <w:kern w:val="2"/>
      <w:sz w:val="24"/>
      <w14:ligatures w14:val="standardContextual"/>
    </w:rPr>
  </w:style>
  <w:style w:type="paragraph" w:styleId="Nadpis1">
    <w:name w:val="heading 1"/>
    <w:basedOn w:val="Normln"/>
    <w:next w:val="Normln"/>
    <w:link w:val="Nadpis1Char"/>
    <w:uiPriority w:val="9"/>
    <w:qFormat/>
    <w:rsid w:val="008A51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A5133"/>
    <w:pPr>
      <w:keepNext/>
      <w:keepLines/>
      <w:spacing w:before="160" w:after="80"/>
      <w:jc w:val="center"/>
      <w:outlineLvl w:val="1"/>
    </w:pPr>
    <w:rPr>
      <w:rFonts w:eastAsiaTheme="majorEastAsia" w:cstheme="majorBidi"/>
      <w:color w:val="2F5496" w:themeColor="accent1" w:themeShade="BF"/>
      <w:sz w:val="3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A5133"/>
    <w:rPr>
      <w:rFonts w:ascii="Calibri Light" w:eastAsiaTheme="majorEastAsia" w:hAnsi="Calibri Light" w:cstheme="majorBidi"/>
      <w:color w:val="2F5496" w:themeColor="accent1" w:themeShade="BF"/>
      <w:kern w:val="2"/>
      <w:sz w:val="30"/>
      <w:szCs w:val="32"/>
      <w14:ligatures w14:val="standardContextual"/>
    </w:rPr>
  </w:style>
  <w:style w:type="character" w:customStyle="1" w:styleId="Nadpis1Char">
    <w:name w:val="Nadpis 1 Char"/>
    <w:basedOn w:val="Standardnpsmoodstavce"/>
    <w:link w:val="Nadpis1"/>
    <w:uiPriority w:val="9"/>
    <w:rsid w:val="008A5133"/>
    <w:rPr>
      <w:rFonts w:asciiTheme="majorHAnsi" w:eastAsiaTheme="majorEastAsia" w:hAnsiTheme="majorHAnsi" w:cstheme="majorBidi"/>
      <w:color w:val="2F5496" w:themeColor="accent1" w:themeShade="BF"/>
      <w:kern w:val="2"/>
      <w:sz w:val="32"/>
      <w:szCs w:val="32"/>
      <w14:ligatures w14:val="standardContextual"/>
    </w:rPr>
  </w:style>
  <w:style w:type="character" w:styleId="Hypertextovodkaz">
    <w:name w:val="Hyperlink"/>
    <w:basedOn w:val="Standardnpsmoodstavce"/>
    <w:uiPriority w:val="99"/>
    <w:unhideWhenUsed/>
    <w:rsid w:val="008A5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e13bef63-en" TargetMode="External"/><Relationship Id="rId3" Type="http://schemas.openxmlformats.org/officeDocument/2006/relationships/webSettings" Target="webSettings.xml"/><Relationship Id="rId7" Type="http://schemas.openxmlformats.org/officeDocument/2006/relationships/hyperlink" Target="https://op.europa.eu/webpub/eac/education-and-training-monitor-2023/cs/country-reports/czechi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ec.europa.eu/cs/education-levels/school-education/early-school-leaving" TargetMode="External"/><Relationship Id="rId5" Type="http://schemas.openxmlformats.org/officeDocument/2006/relationships/hyperlink" Target="https://doi.org/10.2478/jped-2020-0005" TargetMode="External"/><Relationship Id="rId10" Type="http://schemas.openxmlformats.org/officeDocument/2006/relationships/theme" Target="theme/theme1.xml"/><Relationship Id="rId4" Type="http://schemas.openxmlformats.org/officeDocument/2006/relationships/hyperlink" Target="https://data.europa.eu/doi/10.2801/489472"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945</Words>
  <Characters>5579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Tělupilová</dc:creator>
  <cp:keywords/>
  <dc:description/>
  <cp:lastModifiedBy>Alena Tělupilová</cp:lastModifiedBy>
  <cp:revision>2</cp:revision>
  <dcterms:created xsi:type="dcterms:W3CDTF">2024-10-17T08:38:00Z</dcterms:created>
  <dcterms:modified xsi:type="dcterms:W3CDTF">2024-10-17T10:47:00Z</dcterms:modified>
</cp:coreProperties>
</file>